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0DEA8" w14:textId="70896C36" w:rsidR="004A6937" w:rsidRPr="00740A21" w:rsidRDefault="004A6937" w:rsidP="004A6937">
      <w:pPr>
        <w:pStyle w:val="Header"/>
        <w:keepLines/>
        <w:tabs>
          <w:tab w:val="left" w:pos="5956"/>
          <w:tab w:val="right" w:pos="10440"/>
          <w:tab w:val="right" w:pos="13323"/>
        </w:tabs>
        <w:rPr>
          <w:rFonts w:cs="Arial"/>
          <w:sz w:val="24"/>
          <w:szCs w:val="24"/>
        </w:rPr>
      </w:pPr>
      <w:r w:rsidRPr="00740A21">
        <w:rPr>
          <w:rFonts w:cs="Arial"/>
          <w:sz w:val="24"/>
          <w:szCs w:val="24"/>
        </w:rPr>
        <w:t>3GPP TSG-RAN WG4 Meeting # 107</w:t>
      </w:r>
      <w:r w:rsidRPr="00740A21">
        <w:rPr>
          <w:rFonts w:cs="Arial"/>
          <w:sz w:val="24"/>
          <w:szCs w:val="24"/>
        </w:rPr>
        <w:tab/>
      </w:r>
      <w:r w:rsidRPr="00740A21">
        <w:rPr>
          <w:rFonts w:cs="Arial"/>
          <w:sz w:val="24"/>
          <w:szCs w:val="24"/>
        </w:rPr>
        <w:tab/>
      </w:r>
      <w:r w:rsidR="00015E19" w:rsidRPr="00015E19">
        <w:rPr>
          <w:rFonts w:cs="Arial"/>
          <w:sz w:val="24"/>
          <w:szCs w:val="24"/>
        </w:rPr>
        <w:t>R4-2307283</w:t>
      </w:r>
    </w:p>
    <w:p w14:paraId="648A889A" w14:textId="77777777" w:rsidR="004A6937" w:rsidRDefault="004A6937" w:rsidP="004A6937">
      <w:pPr>
        <w:pStyle w:val="Header"/>
        <w:keepLines/>
        <w:tabs>
          <w:tab w:val="left" w:pos="5956"/>
          <w:tab w:val="right" w:pos="10440"/>
          <w:tab w:val="right" w:pos="13323"/>
        </w:tabs>
        <w:rPr>
          <w:rFonts w:cs="Arial"/>
          <w:sz w:val="24"/>
          <w:szCs w:val="24"/>
        </w:rPr>
      </w:pPr>
      <w:r w:rsidRPr="00740A21">
        <w:rPr>
          <w:rFonts w:cs="Arial"/>
          <w:sz w:val="24"/>
          <w:szCs w:val="24"/>
        </w:rPr>
        <w:t>Incheon, KR, May 22 – May 26, 2023</w:t>
      </w:r>
    </w:p>
    <w:p w14:paraId="44726E86" w14:textId="77777777" w:rsidR="009B5A14" w:rsidRPr="00E461DD" w:rsidRDefault="009B5A14" w:rsidP="00062C15">
      <w:pPr>
        <w:tabs>
          <w:tab w:val="left" w:pos="1985"/>
        </w:tabs>
        <w:spacing w:after="0"/>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7506EFAE" w14:textId="6A4E7DD7" w:rsidR="009B5A14" w:rsidRPr="00E461DD" w:rsidRDefault="009B5A14" w:rsidP="00062C15">
      <w:pPr>
        <w:tabs>
          <w:tab w:val="left" w:pos="1985"/>
        </w:tabs>
        <w:spacing w:after="0"/>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00FF1E5F" w:rsidRPr="00FF1E5F">
        <w:rPr>
          <w:rFonts w:ascii="Arial" w:hAnsi="Arial"/>
          <w:bCs/>
          <w:sz w:val="24"/>
          <w:lang w:val="en-US"/>
        </w:rPr>
        <w:t>TCI and UE beam switching delay requirements</w:t>
      </w:r>
    </w:p>
    <w:p w14:paraId="2625E0B8" w14:textId="68B45908" w:rsidR="009B5A14" w:rsidRPr="00E461DD" w:rsidRDefault="009B5A14" w:rsidP="00062C15">
      <w:pPr>
        <w:tabs>
          <w:tab w:val="left" w:pos="1985"/>
        </w:tabs>
        <w:spacing w:after="0"/>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004A6937">
        <w:rPr>
          <w:rFonts w:ascii="Arial" w:hAnsi="Arial"/>
          <w:bCs/>
          <w:sz w:val="24"/>
          <w:lang w:val="en-US"/>
        </w:rPr>
        <w:t>8</w:t>
      </w:r>
      <w:r w:rsidR="00475C4A" w:rsidRPr="00475C4A">
        <w:rPr>
          <w:rFonts w:ascii="Arial" w:hAnsi="Arial"/>
          <w:bCs/>
          <w:sz w:val="24"/>
          <w:lang w:val="en-US"/>
        </w:rPr>
        <w:t>.8.3.</w:t>
      </w:r>
      <w:r w:rsidR="00475C4A">
        <w:rPr>
          <w:rFonts w:ascii="Arial" w:hAnsi="Arial"/>
          <w:bCs/>
          <w:sz w:val="24"/>
          <w:lang w:val="en-US"/>
        </w:rPr>
        <w:t>5</w:t>
      </w:r>
    </w:p>
    <w:p w14:paraId="2762ABD5" w14:textId="493BF061" w:rsidR="001204FD" w:rsidRPr="00E75BD8" w:rsidRDefault="001204FD" w:rsidP="00062C15">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5E348AA5" w:rsidR="007250B9"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90344F" w:rsidRPr="0090344F">
        <w:rPr>
          <w:lang w:val="en-US"/>
        </w:rPr>
        <w:t>TCI and UE beam switching delay requirements</w:t>
      </w:r>
      <w:r w:rsidR="0090344F">
        <w:rPr>
          <w:lang w:val="en-US"/>
        </w:rPr>
        <w:t>.</w:t>
      </w:r>
    </w:p>
    <w:p w14:paraId="7B733F33" w14:textId="3296A277" w:rsidR="00CC52A1" w:rsidRDefault="00BF41B5" w:rsidP="00AD4B20">
      <w:pPr>
        <w:pStyle w:val="Heading1"/>
        <w:rPr>
          <w:lang w:val="en-US"/>
        </w:rPr>
      </w:pPr>
      <w:r>
        <w:rPr>
          <w:lang w:val="en-US"/>
        </w:rPr>
        <w:t>Discussion</w:t>
      </w:r>
    </w:p>
    <w:p w14:paraId="2DFA362C" w14:textId="69DF71AC" w:rsidR="005376A5" w:rsidRDefault="000E4B90" w:rsidP="00785F47">
      <w:pPr>
        <w:rPr>
          <w:lang w:val="en-US"/>
        </w:rPr>
      </w:pPr>
      <w:r>
        <w:rPr>
          <w:lang w:val="en-US"/>
        </w:rPr>
        <w:t xml:space="preserve">RRC and MAC CE based </w:t>
      </w:r>
      <w:r w:rsidR="005376A5">
        <w:rPr>
          <w:lang w:val="en-US"/>
        </w:rPr>
        <w:t xml:space="preserve">TCI state switch </w:t>
      </w:r>
      <w:r>
        <w:rPr>
          <w:lang w:val="en-US"/>
        </w:rPr>
        <w:t xml:space="preserve">requirements are </w:t>
      </w:r>
      <w:r w:rsidR="00AE2F3D">
        <w:rPr>
          <w:lang w:val="en-US"/>
        </w:rPr>
        <w:t xml:space="preserve">depicted in Figure </w:t>
      </w:r>
      <w:r w:rsidR="0065278B">
        <w:rPr>
          <w:lang w:val="en-US"/>
        </w:rPr>
        <w:t>1</w:t>
      </w:r>
      <w:r w:rsidR="00AE2F3D">
        <w:rPr>
          <w:lang w:val="en-US"/>
        </w:rPr>
        <w:t xml:space="preserve">. As can be seen from the figure, whether the switch is signaled by MAC CE or RRC does not have to do with </w:t>
      </w:r>
      <w:r w:rsidR="00345CA0">
        <w:rPr>
          <w:lang w:val="en-US"/>
        </w:rPr>
        <w:t xml:space="preserve">how many </w:t>
      </w:r>
      <w:proofErr w:type="gramStart"/>
      <w:r w:rsidR="00345CA0">
        <w:rPr>
          <w:lang w:val="en-US"/>
        </w:rPr>
        <w:t>reference</w:t>
      </w:r>
      <w:proofErr w:type="gramEnd"/>
      <w:r w:rsidR="00345CA0">
        <w:rPr>
          <w:lang w:val="en-US"/>
        </w:rPr>
        <w:t xml:space="preserve"> signals UE requires for time/frequency tracking and UE RX beam refinement. </w:t>
      </w:r>
      <w:r w:rsidR="00D158A6">
        <w:rPr>
          <w:lang w:val="en-US"/>
        </w:rPr>
        <w:t xml:space="preserve">When the requirements are categorized </w:t>
      </w:r>
      <w:r w:rsidR="00914077">
        <w:rPr>
          <w:lang w:val="en-US"/>
        </w:rPr>
        <w:t xml:space="preserve">into two groups, one for known TCI state, and the other for unknown TCI state, we believe the relevant case for TCI state activation for dual Rx based mTRP support is “known TCI state” because it is hard to expect NW to signal the UE to activate two TCI states associated with two TRPs without recent UE measurement report </w:t>
      </w:r>
      <w:r w:rsidR="00B231EA">
        <w:rPr>
          <w:lang w:val="en-US"/>
        </w:rPr>
        <w:t>on the associated reference signals.</w:t>
      </w:r>
      <w:r w:rsidR="00B97B1D">
        <w:rPr>
          <w:lang w:val="en-US"/>
        </w:rPr>
        <w:t xml:space="preserve"> Note that RRC </w:t>
      </w:r>
      <w:r w:rsidR="00410F58">
        <w:rPr>
          <w:lang w:val="en-US"/>
        </w:rPr>
        <w:t xml:space="preserve">based TCI switching </w:t>
      </w:r>
      <w:r w:rsidR="00C2467C">
        <w:rPr>
          <w:lang w:val="en-US"/>
        </w:rPr>
        <w:t>needs to be defined, if agreed,</w:t>
      </w:r>
      <w:r w:rsidR="00410F58">
        <w:rPr>
          <w:lang w:val="en-US"/>
        </w:rPr>
        <w:t xml:space="preserve"> only for </w:t>
      </w:r>
      <w:r w:rsidR="00C2467C">
        <w:rPr>
          <w:lang w:val="en-US"/>
        </w:rPr>
        <w:t>mDCI based mTRP, particularly when a second CORESET, to enable mDCI based mTRP mode, is configured by NW because TCI activation</w:t>
      </w:r>
      <w:r w:rsidR="004834E5">
        <w:rPr>
          <w:lang w:val="en-US"/>
        </w:rPr>
        <w:t>/switch</w:t>
      </w:r>
      <w:r w:rsidR="00C2467C">
        <w:rPr>
          <w:lang w:val="en-US"/>
        </w:rPr>
        <w:t xml:space="preserve"> will be done by MAC</w:t>
      </w:r>
      <w:r w:rsidR="004834E5">
        <w:rPr>
          <w:lang w:val="en-US"/>
        </w:rPr>
        <w:t xml:space="preserve"> CE</w:t>
      </w:r>
      <w:r w:rsidR="00B616FF">
        <w:rPr>
          <w:lang w:val="en-US"/>
        </w:rPr>
        <w:t xml:space="preserve"> for the rest cases.</w:t>
      </w:r>
    </w:p>
    <w:p w14:paraId="752630BE" w14:textId="77777777" w:rsidR="00B231EA" w:rsidRDefault="00B231EA" w:rsidP="00785F47">
      <w:pPr>
        <w:rPr>
          <w:lang w:val="en-US"/>
        </w:rPr>
      </w:pPr>
    </w:p>
    <w:p w14:paraId="17F37F19" w14:textId="43F51BEA" w:rsidR="00785F47" w:rsidRPr="0091099F" w:rsidRDefault="000F6A7F" w:rsidP="000F6A7F">
      <w:pPr>
        <w:ind w:left="-990"/>
        <w:jc w:val="center"/>
        <w:rPr>
          <w:b/>
          <w:bCs/>
          <w:lang w:val="en-US"/>
        </w:rPr>
      </w:pPr>
      <w:r>
        <w:rPr>
          <w:b/>
          <w:bCs/>
          <w:noProof/>
          <w:lang w:val="en-US"/>
        </w:rPr>
        <w:drawing>
          <wp:inline distT="0" distB="0" distL="0" distR="0" wp14:anchorId="503017DC" wp14:editId="383A5C04">
            <wp:extent cx="7357187" cy="2815524"/>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01799" cy="2832596"/>
                    </a:xfrm>
                    <a:prstGeom prst="rect">
                      <a:avLst/>
                    </a:prstGeom>
                    <a:noFill/>
                  </pic:spPr>
                </pic:pic>
              </a:graphicData>
            </a:graphic>
          </wp:inline>
        </w:drawing>
      </w:r>
    </w:p>
    <w:p w14:paraId="735FA0F2" w14:textId="1CF9F595" w:rsidR="00785F47" w:rsidRDefault="00785F47" w:rsidP="00785F47">
      <w:pPr>
        <w:jc w:val="center"/>
        <w:rPr>
          <w:b/>
          <w:bCs/>
          <w:lang w:val="en-US"/>
        </w:rPr>
      </w:pPr>
      <w:r w:rsidRPr="0091099F">
        <w:rPr>
          <w:b/>
          <w:bCs/>
          <w:lang w:val="en-US"/>
        </w:rPr>
        <w:t>Fig.</w:t>
      </w:r>
      <w:r w:rsidR="0065278B">
        <w:rPr>
          <w:b/>
          <w:bCs/>
          <w:lang w:val="en-US"/>
        </w:rPr>
        <w:t>1</w:t>
      </w:r>
      <w:r w:rsidRPr="0091099F">
        <w:rPr>
          <w:b/>
          <w:bCs/>
          <w:lang w:val="en-US"/>
        </w:rPr>
        <w:t xml:space="preserve"> </w:t>
      </w:r>
      <w:r w:rsidR="0022491A" w:rsidRPr="0022491A">
        <w:rPr>
          <w:b/>
          <w:bCs/>
        </w:rPr>
        <w:t xml:space="preserve">MAC-CE and RRC based TCI state switch </w:t>
      </w:r>
      <w:proofErr w:type="gramStart"/>
      <w:r w:rsidR="0022491A" w:rsidRPr="0022491A">
        <w:rPr>
          <w:b/>
          <w:bCs/>
        </w:rPr>
        <w:t>delay</w:t>
      </w:r>
      <w:proofErr w:type="gramEnd"/>
    </w:p>
    <w:p w14:paraId="5048E7DA" w14:textId="306302D3" w:rsidR="00785F47" w:rsidRDefault="00785F47" w:rsidP="00785F47">
      <w:pPr>
        <w:rPr>
          <w:rFonts w:eastAsia="Malgun Gothic"/>
          <w:lang w:val="en-US" w:eastAsia="ko-KR"/>
        </w:rPr>
      </w:pPr>
    </w:p>
    <w:p w14:paraId="07794072" w14:textId="77777777" w:rsidR="0065278B" w:rsidRDefault="0065278B" w:rsidP="0065278B">
      <w:pPr>
        <w:jc w:val="both"/>
        <w:rPr>
          <w:b/>
          <w:bCs/>
        </w:rPr>
      </w:pPr>
      <w:r w:rsidRPr="006B0359">
        <w:rPr>
          <w:b/>
          <w:bCs/>
        </w:rPr>
        <w:t xml:space="preserve">Proposal </w:t>
      </w:r>
      <w:r>
        <w:rPr>
          <w:b/>
          <w:bCs/>
        </w:rPr>
        <w:t>1</w:t>
      </w:r>
      <w:r w:rsidRPr="006B0359">
        <w:rPr>
          <w:b/>
          <w:bCs/>
        </w:rPr>
        <w:t xml:space="preserve">: </w:t>
      </w:r>
      <w:r>
        <w:rPr>
          <w:b/>
          <w:bCs/>
        </w:rPr>
        <w:t xml:space="preserve">If RAN4 agrees to define RRC based TCI activation, the requirement will be only for mDCI based mTRP mode, particularly when </w:t>
      </w:r>
      <w:r w:rsidRPr="00261594">
        <w:rPr>
          <w:b/>
          <w:bCs/>
        </w:rPr>
        <w:t>a second CORESET</w:t>
      </w:r>
      <w:r>
        <w:rPr>
          <w:b/>
          <w:bCs/>
        </w:rPr>
        <w:t xml:space="preserve"> to enable mDCI based mTRP is configured by NW.</w:t>
      </w:r>
    </w:p>
    <w:p w14:paraId="6170357D" w14:textId="77777777" w:rsidR="00261594" w:rsidRPr="00261594" w:rsidRDefault="00261594" w:rsidP="00785F47">
      <w:pPr>
        <w:rPr>
          <w:rFonts w:eastAsia="Malgun Gothic"/>
          <w:lang w:eastAsia="ko-KR"/>
        </w:rPr>
      </w:pPr>
    </w:p>
    <w:p w14:paraId="04E6645F" w14:textId="77777777" w:rsidR="0065278B" w:rsidRDefault="0065278B" w:rsidP="0065278B">
      <w:pPr>
        <w:jc w:val="both"/>
        <w:rPr>
          <w:b/>
          <w:bCs/>
        </w:rPr>
      </w:pPr>
      <w:r w:rsidRPr="006B0359">
        <w:rPr>
          <w:b/>
          <w:bCs/>
        </w:rPr>
        <w:t xml:space="preserve">Proposal </w:t>
      </w:r>
      <w:r>
        <w:rPr>
          <w:b/>
          <w:bCs/>
        </w:rPr>
        <w:t>2</w:t>
      </w:r>
      <w:r w:rsidRPr="006B0359">
        <w:rPr>
          <w:b/>
          <w:bCs/>
        </w:rPr>
        <w:t xml:space="preserve">: </w:t>
      </w:r>
      <w:r w:rsidRPr="009B3202">
        <w:rPr>
          <w:b/>
          <w:bCs/>
        </w:rPr>
        <w:t xml:space="preserve">RAN4 to not define </w:t>
      </w:r>
      <w:r>
        <w:rPr>
          <w:b/>
          <w:bCs/>
        </w:rPr>
        <w:t xml:space="preserve">MAC CE based dual </w:t>
      </w:r>
      <w:r w:rsidRPr="009B3202">
        <w:rPr>
          <w:b/>
          <w:bCs/>
        </w:rPr>
        <w:t xml:space="preserve">TCI state switch delay requirements for unknown </w:t>
      </w:r>
      <w:r>
        <w:rPr>
          <w:b/>
          <w:bCs/>
        </w:rPr>
        <w:t xml:space="preserve">TCI </w:t>
      </w:r>
      <w:proofErr w:type="gramStart"/>
      <w:r w:rsidRPr="009B3202">
        <w:rPr>
          <w:b/>
          <w:bCs/>
        </w:rPr>
        <w:t>state</w:t>
      </w:r>
      <w:proofErr w:type="gramEnd"/>
    </w:p>
    <w:p w14:paraId="04B7EEFB" w14:textId="4A3AB10A" w:rsidR="00785F47" w:rsidRDefault="00785F47" w:rsidP="00785F47">
      <w:pPr>
        <w:rPr>
          <w:rFonts w:eastAsia="Malgun Gothic"/>
          <w:lang w:eastAsia="ko-KR"/>
        </w:rPr>
      </w:pPr>
    </w:p>
    <w:p w14:paraId="48A69A55" w14:textId="7240BF18" w:rsidR="00B231EA" w:rsidRDefault="00B231EA" w:rsidP="00785F47">
      <w:pPr>
        <w:rPr>
          <w:rFonts w:eastAsia="Malgun Gothic"/>
          <w:lang w:eastAsia="ko-KR"/>
        </w:rPr>
      </w:pPr>
      <w:r>
        <w:rPr>
          <w:rFonts w:eastAsia="Malgun Gothic"/>
          <w:lang w:eastAsia="ko-KR"/>
        </w:rPr>
        <w:t xml:space="preserve">The existing </w:t>
      </w:r>
      <w:r w:rsidR="0005589B">
        <w:rPr>
          <w:rFonts w:eastAsia="Malgun Gothic"/>
          <w:lang w:eastAsia="ko-KR"/>
        </w:rPr>
        <w:t xml:space="preserve">set of conditions for known TCI state is based on </w:t>
      </w:r>
      <w:r w:rsidR="00887590" w:rsidRPr="00887590">
        <w:rPr>
          <w:rFonts w:eastAsia="Malgun Gothic"/>
          <w:lang w:eastAsia="ko-KR"/>
        </w:rPr>
        <w:t>L1-RSRP report</w:t>
      </w:r>
      <w:r w:rsidR="009168F6">
        <w:rPr>
          <w:rFonts w:eastAsia="Malgun Gothic"/>
          <w:lang w:eastAsia="ko-KR"/>
        </w:rPr>
        <w:t xml:space="preserve">, which needs to be replaced with </w:t>
      </w:r>
      <w:r w:rsidR="00887ECF">
        <w:rPr>
          <w:rFonts w:eastAsia="Malgun Gothic"/>
          <w:lang w:eastAsia="ko-KR"/>
        </w:rPr>
        <w:t>R17 group-based L1-RSRP measurement</w:t>
      </w:r>
      <w:r w:rsidR="009D6433">
        <w:rPr>
          <w:rFonts w:eastAsia="Malgun Gothic"/>
          <w:lang w:eastAsia="ko-KR"/>
        </w:rPr>
        <w:t xml:space="preserve"> and report for the support of simultaneous Rx based mTRP operation.</w:t>
      </w:r>
    </w:p>
    <w:p w14:paraId="38EFE0A6" w14:textId="77777777" w:rsidR="009D6433" w:rsidRDefault="009D6433" w:rsidP="00785F47">
      <w:pPr>
        <w:rPr>
          <w:rFonts w:eastAsia="Malgun Gothic"/>
          <w:lang w:eastAsia="ko-KR"/>
        </w:rPr>
      </w:pPr>
    </w:p>
    <w:p w14:paraId="597650AA" w14:textId="77777777" w:rsidR="0065278B" w:rsidRPr="00D734F6" w:rsidRDefault="0065278B" w:rsidP="0065278B">
      <w:pPr>
        <w:jc w:val="both"/>
        <w:rPr>
          <w:b/>
          <w:bCs/>
        </w:rPr>
      </w:pPr>
      <w:r w:rsidRPr="006B0359">
        <w:rPr>
          <w:b/>
          <w:bCs/>
        </w:rPr>
        <w:t xml:space="preserve">Proposal </w:t>
      </w:r>
      <w:r>
        <w:rPr>
          <w:b/>
          <w:bCs/>
        </w:rPr>
        <w:t>3</w:t>
      </w:r>
      <w:r w:rsidRPr="006B0359">
        <w:rPr>
          <w:b/>
          <w:bCs/>
        </w:rPr>
        <w:t xml:space="preserve">: </w:t>
      </w:r>
      <w:r w:rsidRPr="00D734F6">
        <w:rPr>
          <w:b/>
          <w:bCs/>
        </w:rPr>
        <w:t xml:space="preserve">The known condition of dual TCI state switch for mTRP is based on Rel-17 group-based L1-RSRP measurement and </w:t>
      </w:r>
      <w:proofErr w:type="gramStart"/>
      <w:r w:rsidRPr="00D734F6">
        <w:rPr>
          <w:b/>
          <w:bCs/>
        </w:rPr>
        <w:t>report</w:t>
      </w:r>
      <w:proofErr w:type="gramEnd"/>
    </w:p>
    <w:p w14:paraId="467A2A4C" w14:textId="658A0D8E" w:rsidR="00785F47" w:rsidRDefault="00785F47" w:rsidP="00D734F6">
      <w:pPr>
        <w:jc w:val="both"/>
        <w:rPr>
          <w:rFonts w:eastAsia="Malgun Gothic"/>
          <w:lang w:eastAsia="ko-KR"/>
        </w:rPr>
      </w:pPr>
    </w:p>
    <w:p w14:paraId="7C36E4D6" w14:textId="4B958C25" w:rsidR="009D6433" w:rsidRDefault="007A71FE" w:rsidP="00D734F6">
      <w:pPr>
        <w:jc w:val="both"/>
        <w:rPr>
          <w:rFonts w:eastAsia="Malgun Gothic"/>
          <w:lang w:eastAsia="ko-KR"/>
        </w:rPr>
      </w:pPr>
      <w:r>
        <w:rPr>
          <w:rFonts w:eastAsia="Malgun Gothic"/>
          <w:lang w:eastAsia="ko-KR"/>
        </w:rPr>
        <w:t xml:space="preserve">There can be two options (Opt-A and Opt-B in Figure </w:t>
      </w:r>
      <w:r w:rsidR="0065278B">
        <w:rPr>
          <w:rFonts w:eastAsia="Malgun Gothic"/>
          <w:lang w:eastAsia="ko-KR"/>
        </w:rPr>
        <w:t>1</w:t>
      </w:r>
      <w:r>
        <w:rPr>
          <w:rFonts w:eastAsia="Malgun Gothic"/>
          <w:lang w:eastAsia="ko-KR"/>
        </w:rPr>
        <w:t>) when defining a</w:t>
      </w:r>
      <w:r w:rsidR="00465058">
        <w:rPr>
          <w:rFonts w:eastAsia="Malgun Gothic"/>
          <w:lang w:eastAsia="ko-KR"/>
        </w:rPr>
        <w:t xml:space="preserve"> dual TCI state switching delay. The first option (Opt-A in Figure </w:t>
      </w:r>
      <w:r w:rsidR="0065278B">
        <w:rPr>
          <w:rFonts w:eastAsia="Malgun Gothic"/>
          <w:lang w:eastAsia="ko-KR"/>
        </w:rPr>
        <w:t>1</w:t>
      </w:r>
      <w:r w:rsidR="00465058">
        <w:rPr>
          <w:rFonts w:eastAsia="Malgun Gothic"/>
          <w:lang w:eastAsia="ko-KR"/>
        </w:rPr>
        <w:t xml:space="preserve">) assumes UE forms two concurrent beams or switches </w:t>
      </w:r>
      <w:r w:rsidR="004D7B9C">
        <w:rPr>
          <w:rFonts w:eastAsia="Malgun Gothic"/>
          <w:lang w:eastAsia="ko-KR"/>
        </w:rPr>
        <w:t xml:space="preserve">Rx beams from one to the other to receive the two reference signals associated with the to-be-switched two TCI states within one SSB burst, whereas the second option (Opt-B in Figure </w:t>
      </w:r>
      <w:r w:rsidR="0065278B">
        <w:rPr>
          <w:rFonts w:eastAsia="Malgun Gothic"/>
          <w:lang w:eastAsia="ko-KR"/>
        </w:rPr>
        <w:t>1</w:t>
      </w:r>
      <w:r w:rsidR="004D7B9C">
        <w:rPr>
          <w:rFonts w:eastAsia="Malgun Gothic"/>
          <w:lang w:eastAsia="ko-KR"/>
        </w:rPr>
        <w:t xml:space="preserve">) assumes UE switches Rx beams across SSB bursts. </w:t>
      </w:r>
      <w:r w:rsidR="00E760BE">
        <w:rPr>
          <w:rFonts w:eastAsia="Malgun Gothic"/>
          <w:lang w:eastAsia="ko-KR"/>
        </w:rPr>
        <w:t xml:space="preserve">We believe the first option can be feasible for the UE supporting simultaneous Rx based mTRP operation, and the requirement can be defined simply </w:t>
      </w:r>
      <w:r w:rsidR="00D90522">
        <w:rPr>
          <w:rFonts w:eastAsia="Malgun Gothic"/>
          <w:lang w:eastAsia="ko-KR"/>
        </w:rPr>
        <w:t>by re-defining Tfirst-SSB</w:t>
      </w:r>
      <w:r w:rsidR="007723D0">
        <w:rPr>
          <w:rFonts w:eastAsia="Malgun Gothic"/>
          <w:lang w:eastAsia="ko-KR"/>
        </w:rPr>
        <w:t xml:space="preserve"> such that it can accommodate the two TDM’ed source SSBs.</w:t>
      </w:r>
    </w:p>
    <w:p w14:paraId="102D19BB" w14:textId="77777777" w:rsidR="002D5EB9" w:rsidRDefault="002D5EB9" w:rsidP="00D734F6">
      <w:pPr>
        <w:jc w:val="both"/>
        <w:rPr>
          <w:rFonts w:eastAsia="Malgun Gothic"/>
          <w:lang w:eastAsia="ko-KR"/>
        </w:rPr>
      </w:pPr>
    </w:p>
    <w:p w14:paraId="5848E51A" w14:textId="77777777" w:rsidR="0065278B" w:rsidRPr="00AB0A46" w:rsidRDefault="0065278B" w:rsidP="0065278B">
      <w:pPr>
        <w:tabs>
          <w:tab w:val="num" w:pos="1440"/>
        </w:tabs>
        <w:jc w:val="both"/>
        <w:rPr>
          <w:lang w:eastAsia="en-GB"/>
        </w:rPr>
      </w:pPr>
      <w:r w:rsidRPr="006B0359">
        <w:rPr>
          <w:b/>
          <w:bCs/>
        </w:rPr>
        <w:t xml:space="preserve">Proposal </w:t>
      </w:r>
      <w:r>
        <w:rPr>
          <w:b/>
          <w:bCs/>
        </w:rPr>
        <w:t>4</w:t>
      </w:r>
      <w:r w:rsidRPr="006B0359">
        <w:rPr>
          <w:b/>
          <w:bCs/>
        </w:rPr>
        <w:t xml:space="preserve">: </w:t>
      </w:r>
      <w:r w:rsidRPr="00D734F6">
        <w:rPr>
          <w:b/>
          <w:bCs/>
        </w:rPr>
        <w:t xml:space="preserve">Tfirst-SSB defined for the existing TCI state switch delay requirements can be reused for dual TCI switch in mTRP if the definition of Tfirst-SSB is </w:t>
      </w:r>
      <w:r>
        <w:rPr>
          <w:b/>
          <w:bCs/>
        </w:rPr>
        <w:t>redefined</w:t>
      </w:r>
      <w:r w:rsidRPr="00D734F6">
        <w:rPr>
          <w:b/>
          <w:bCs/>
        </w:rPr>
        <w:t xml:space="preserve"> to account for two TDM’ed source SSBs in the QCL chains with two TRPs.</w:t>
      </w:r>
    </w:p>
    <w:p w14:paraId="63B8504B" w14:textId="22D7D97D" w:rsidR="00A21462" w:rsidRPr="0065278B" w:rsidRDefault="00A21462" w:rsidP="009D30D9">
      <w:pPr>
        <w:jc w:val="both"/>
        <w:rPr>
          <w:rFonts w:eastAsia="Malgun Gothic"/>
          <w:lang w:eastAsia="ko-KR"/>
        </w:rPr>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73B2A0F8" w14:textId="3BD45435" w:rsidR="00755CCB" w:rsidRDefault="00755CCB" w:rsidP="00755CCB">
      <w:pPr>
        <w:jc w:val="both"/>
        <w:rPr>
          <w:b/>
          <w:bCs/>
        </w:rPr>
      </w:pPr>
      <w:r w:rsidRPr="006B0359">
        <w:rPr>
          <w:b/>
          <w:bCs/>
        </w:rPr>
        <w:t xml:space="preserve">Proposal </w:t>
      </w:r>
      <w:r w:rsidR="0065278B">
        <w:rPr>
          <w:b/>
          <w:bCs/>
        </w:rPr>
        <w:t>1</w:t>
      </w:r>
      <w:r w:rsidRPr="006B0359">
        <w:rPr>
          <w:b/>
          <w:bCs/>
        </w:rPr>
        <w:t xml:space="preserve">: </w:t>
      </w:r>
      <w:r>
        <w:rPr>
          <w:b/>
          <w:bCs/>
        </w:rPr>
        <w:t xml:space="preserve">If RAN4 agrees to define RRC based TCI activation, the requirement will be only for mDCI based mTRP mode, particularly when </w:t>
      </w:r>
      <w:r w:rsidRPr="00261594">
        <w:rPr>
          <w:b/>
          <w:bCs/>
        </w:rPr>
        <w:t>a second CORESET</w:t>
      </w:r>
      <w:r>
        <w:rPr>
          <w:b/>
          <w:bCs/>
        </w:rPr>
        <w:t xml:space="preserve"> to enable mDCI based mTRP is configured by NW.</w:t>
      </w:r>
    </w:p>
    <w:p w14:paraId="1942E2E4" w14:textId="70E44D18" w:rsidR="00FC2B9F" w:rsidRDefault="00FC2B9F" w:rsidP="00FC2B9F">
      <w:pPr>
        <w:jc w:val="both"/>
        <w:rPr>
          <w:b/>
          <w:bCs/>
        </w:rPr>
      </w:pPr>
      <w:r w:rsidRPr="006B0359">
        <w:rPr>
          <w:b/>
          <w:bCs/>
        </w:rPr>
        <w:t xml:space="preserve">Proposal </w:t>
      </w:r>
      <w:r w:rsidR="0065278B">
        <w:rPr>
          <w:b/>
          <w:bCs/>
        </w:rPr>
        <w:t>2</w:t>
      </w:r>
      <w:r w:rsidRPr="006B0359">
        <w:rPr>
          <w:b/>
          <w:bCs/>
        </w:rPr>
        <w:t xml:space="preserve">: </w:t>
      </w:r>
      <w:r w:rsidRPr="009B3202">
        <w:rPr>
          <w:b/>
          <w:bCs/>
        </w:rPr>
        <w:t xml:space="preserve">RAN4 to not define </w:t>
      </w:r>
      <w:r w:rsidR="005152D3">
        <w:rPr>
          <w:b/>
          <w:bCs/>
        </w:rPr>
        <w:t xml:space="preserve">MAC CE based dual </w:t>
      </w:r>
      <w:r w:rsidRPr="009B3202">
        <w:rPr>
          <w:b/>
          <w:bCs/>
        </w:rPr>
        <w:t xml:space="preserve">TCI state switch delay requirements for unknown </w:t>
      </w:r>
      <w:r>
        <w:rPr>
          <w:b/>
          <w:bCs/>
        </w:rPr>
        <w:t xml:space="preserve">TCI </w:t>
      </w:r>
      <w:proofErr w:type="gramStart"/>
      <w:r w:rsidRPr="009B3202">
        <w:rPr>
          <w:b/>
          <w:bCs/>
        </w:rPr>
        <w:t>state</w:t>
      </w:r>
      <w:proofErr w:type="gramEnd"/>
    </w:p>
    <w:p w14:paraId="36070CE9" w14:textId="06BC00B2" w:rsidR="00FC2B9F" w:rsidRPr="00D734F6" w:rsidRDefault="00FC2B9F" w:rsidP="00FC2B9F">
      <w:pPr>
        <w:jc w:val="both"/>
        <w:rPr>
          <w:b/>
          <w:bCs/>
        </w:rPr>
      </w:pPr>
      <w:r w:rsidRPr="006B0359">
        <w:rPr>
          <w:b/>
          <w:bCs/>
        </w:rPr>
        <w:t xml:space="preserve">Proposal </w:t>
      </w:r>
      <w:r w:rsidR="0065278B">
        <w:rPr>
          <w:b/>
          <w:bCs/>
        </w:rPr>
        <w:t>3</w:t>
      </w:r>
      <w:r w:rsidRPr="006B0359">
        <w:rPr>
          <w:b/>
          <w:bCs/>
        </w:rPr>
        <w:t xml:space="preserve">: </w:t>
      </w:r>
      <w:r w:rsidRPr="00D734F6">
        <w:rPr>
          <w:b/>
          <w:bCs/>
        </w:rPr>
        <w:t xml:space="preserve">The known condition of dual TCI state switch for mTRP is based on Rel-17 group-based L1-RSRP measurement and </w:t>
      </w:r>
      <w:proofErr w:type="gramStart"/>
      <w:r w:rsidRPr="00D734F6">
        <w:rPr>
          <w:b/>
          <w:bCs/>
        </w:rPr>
        <w:t>report</w:t>
      </w:r>
      <w:proofErr w:type="gramEnd"/>
    </w:p>
    <w:p w14:paraId="57200915" w14:textId="67A931D3" w:rsidR="006267A5" w:rsidRPr="00AB0A46" w:rsidRDefault="00E23D5A" w:rsidP="00755CCB">
      <w:pPr>
        <w:tabs>
          <w:tab w:val="num" w:pos="1440"/>
        </w:tabs>
        <w:jc w:val="both"/>
        <w:rPr>
          <w:lang w:eastAsia="en-GB"/>
        </w:rPr>
      </w:pPr>
      <w:r w:rsidRPr="006B0359">
        <w:rPr>
          <w:b/>
          <w:bCs/>
        </w:rPr>
        <w:t xml:space="preserve">Proposal </w:t>
      </w:r>
      <w:r w:rsidR="0065278B">
        <w:rPr>
          <w:b/>
          <w:bCs/>
        </w:rPr>
        <w:t>4</w:t>
      </w:r>
      <w:r w:rsidRPr="006B0359">
        <w:rPr>
          <w:b/>
          <w:bCs/>
        </w:rPr>
        <w:t xml:space="preserve">: </w:t>
      </w:r>
      <w:r w:rsidRPr="00D734F6">
        <w:rPr>
          <w:b/>
          <w:bCs/>
        </w:rPr>
        <w:t xml:space="preserve">Tfirst-SSB defined for the existing TCI state switch delay requirements can be reused for dual TCI switch in mTRP if the definition of Tfirst-SSB is </w:t>
      </w:r>
      <w:r>
        <w:rPr>
          <w:b/>
          <w:bCs/>
        </w:rPr>
        <w:t>redefined</w:t>
      </w:r>
      <w:r w:rsidRPr="00D734F6">
        <w:rPr>
          <w:b/>
          <w:bCs/>
        </w:rPr>
        <w:t xml:space="preserve"> to account for two TDM’ed source SSBs in the QCL chains with two TRPs.</w:t>
      </w:r>
    </w:p>
    <w:sectPr w:rsidR="006267A5" w:rsidRPr="00AB0A4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03916"/>
    <w:multiLevelType w:val="hybridMultilevel"/>
    <w:tmpl w:val="87F8A224"/>
    <w:lvl w:ilvl="0" w:tplc="D1367D44">
      <w:start w:val="1"/>
      <w:numFmt w:val="bullet"/>
      <w:lvlText w:val="•"/>
      <w:lvlJc w:val="left"/>
      <w:pPr>
        <w:tabs>
          <w:tab w:val="num" w:pos="720"/>
        </w:tabs>
        <w:ind w:left="720" w:hanging="360"/>
      </w:pPr>
      <w:rPr>
        <w:rFonts w:ascii="Arial" w:hAnsi="Arial" w:hint="default"/>
      </w:rPr>
    </w:lvl>
    <w:lvl w:ilvl="1" w:tplc="0A92CD4C">
      <w:numFmt w:val="bullet"/>
      <w:lvlText w:val="•"/>
      <w:lvlJc w:val="left"/>
      <w:pPr>
        <w:tabs>
          <w:tab w:val="num" w:pos="1440"/>
        </w:tabs>
        <w:ind w:left="1440" w:hanging="360"/>
      </w:pPr>
      <w:rPr>
        <w:rFonts w:ascii="Arial" w:hAnsi="Arial" w:hint="default"/>
      </w:rPr>
    </w:lvl>
    <w:lvl w:ilvl="2" w:tplc="53BCC93C" w:tentative="1">
      <w:start w:val="1"/>
      <w:numFmt w:val="bullet"/>
      <w:lvlText w:val="•"/>
      <w:lvlJc w:val="left"/>
      <w:pPr>
        <w:tabs>
          <w:tab w:val="num" w:pos="2160"/>
        </w:tabs>
        <w:ind w:left="2160" w:hanging="360"/>
      </w:pPr>
      <w:rPr>
        <w:rFonts w:ascii="Arial" w:hAnsi="Arial" w:hint="default"/>
      </w:rPr>
    </w:lvl>
    <w:lvl w:ilvl="3" w:tplc="8CBA478A" w:tentative="1">
      <w:start w:val="1"/>
      <w:numFmt w:val="bullet"/>
      <w:lvlText w:val="•"/>
      <w:lvlJc w:val="left"/>
      <w:pPr>
        <w:tabs>
          <w:tab w:val="num" w:pos="2880"/>
        </w:tabs>
        <w:ind w:left="2880" w:hanging="360"/>
      </w:pPr>
      <w:rPr>
        <w:rFonts w:ascii="Arial" w:hAnsi="Arial" w:hint="default"/>
      </w:rPr>
    </w:lvl>
    <w:lvl w:ilvl="4" w:tplc="F276637C" w:tentative="1">
      <w:start w:val="1"/>
      <w:numFmt w:val="bullet"/>
      <w:lvlText w:val="•"/>
      <w:lvlJc w:val="left"/>
      <w:pPr>
        <w:tabs>
          <w:tab w:val="num" w:pos="3600"/>
        </w:tabs>
        <w:ind w:left="3600" w:hanging="360"/>
      </w:pPr>
      <w:rPr>
        <w:rFonts w:ascii="Arial" w:hAnsi="Arial" w:hint="default"/>
      </w:rPr>
    </w:lvl>
    <w:lvl w:ilvl="5" w:tplc="0B949F7E" w:tentative="1">
      <w:start w:val="1"/>
      <w:numFmt w:val="bullet"/>
      <w:lvlText w:val="•"/>
      <w:lvlJc w:val="left"/>
      <w:pPr>
        <w:tabs>
          <w:tab w:val="num" w:pos="4320"/>
        </w:tabs>
        <w:ind w:left="4320" w:hanging="360"/>
      </w:pPr>
      <w:rPr>
        <w:rFonts w:ascii="Arial" w:hAnsi="Arial" w:hint="default"/>
      </w:rPr>
    </w:lvl>
    <w:lvl w:ilvl="6" w:tplc="30B88C08" w:tentative="1">
      <w:start w:val="1"/>
      <w:numFmt w:val="bullet"/>
      <w:lvlText w:val="•"/>
      <w:lvlJc w:val="left"/>
      <w:pPr>
        <w:tabs>
          <w:tab w:val="num" w:pos="5040"/>
        </w:tabs>
        <w:ind w:left="5040" w:hanging="360"/>
      </w:pPr>
      <w:rPr>
        <w:rFonts w:ascii="Arial" w:hAnsi="Arial" w:hint="default"/>
      </w:rPr>
    </w:lvl>
    <w:lvl w:ilvl="7" w:tplc="7F184F7C" w:tentative="1">
      <w:start w:val="1"/>
      <w:numFmt w:val="bullet"/>
      <w:lvlText w:val="•"/>
      <w:lvlJc w:val="left"/>
      <w:pPr>
        <w:tabs>
          <w:tab w:val="num" w:pos="5760"/>
        </w:tabs>
        <w:ind w:left="5760" w:hanging="360"/>
      </w:pPr>
      <w:rPr>
        <w:rFonts w:ascii="Arial" w:hAnsi="Arial" w:hint="default"/>
      </w:rPr>
    </w:lvl>
    <w:lvl w:ilvl="8" w:tplc="B63220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33239E9"/>
    <w:multiLevelType w:val="hybridMultilevel"/>
    <w:tmpl w:val="829E6B68"/>
    <w:lvl w:ilvl="0" w:tplc="54C0A46E">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6D67315"/>
    <w:multiLevelType w:val="hybridMultilevel"/>
    <w:tmpl w:val="6BF03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8"/>
  </w:num>
  <w:num w:numId="2" w16cid:durableId="1818299601">
    <w:abstractNumId w:val="43"/>
  </w:num>
  <w:num w:numId="3" w16cid:durableId="822310547">
    <w:abstractNumId w:val="24"/>
  </w:num>
  <w:num w:numId="4" w16cid:durableId="1022324696">
    <w:abstractNumId w:val="12"/>
  </w:num>
  <w:num w:numId="5" w16cid:durableId="1224174323">
    <w:abstractNumId w:val="4"/>
  </w:num>
  <w:num w:numId="6" w16cid:durableId="789395670">
    <w:abstractNumId w:val="36"/>
  </w:num>
  <w:num w:numId="7" w16cid:durableId="1395664146">
    <w:abstractNumId w:val="13"/>
  </w:num>
  <w:num w:numId="8" w16cid:durableId="1404523643">
    <w:abstractNumId w:val="20"/>
  </w:num>
  <w:num w:numId="9" w16cid:durableId="543058064">
    <w:abstractNumId w:val="44"/>
  </w:num>
  <w:num w:numId="10" w16cid:durableId="185564226">
    <w:abstractNumId w:val="41"/>
  </w:num>
  <w:num w:numId="11" w16cid:durableId="165559958">
    <w:abstractNumId w:val="40"/>
  </w:num>
  <w:num w:numId="12" w16cid:durableId="1653867933">
    <w:abstractNumId w:val="7"/>
  </w:num>
  <w:num w:numId="13" w16cid:durableId="2048480466">
    <w:abstractNumId w:val="15"/>
  </w:num>
  <w:num w:numId="14" w16cid:durableId="123162328">
    <w:abstractNumId w:val="18"/>
  </w:num>
  <w:num w:numId="15" w16cid:durableId="311373112">
    <w:abstractNumId w:val="33"/>
  </w:num>
  <w:num w:numId="16" w16cid:durableId="1054475442">
    <w:abstractNumId w:val="19"/>
  </w:num>
  <w:num w:numId="17" w16cid:durableId="1069427642">
    <w:abstractNumId w:val="31"/>
  </w:num>
  <w:num w:numId="18" w16cid:durableId="1874415200">
    <w:abstractNumId w:val="28"/>
  </w:num>
  <w:num w:numId="19" w16cid:durableId="228931519">
    <w:abstractNumId w:val="37"/>
  </w:num>
  <w:num w:numId="20" w16cid:durableId="1723091846">
    <w:abstractNumId w:val="10"/>
  </w:num>
  <w:num w:numId="21" w16cid:durableId="241762332">
    <w:abstractNumId w:val="22"/>
  </w:num>
  <w:num w:numId="22" w16cid:durableId="1273628953">
    <w:abstractNumId w:val="2"/>
  </w:num>
  <w:num w:numId="23" w16cid:durableId="1433016067">
    <w:abstractNumId w:val="39"/>
  </w:num>
  <w:num w:numId="24" w16cid:durableId="289214236">
    <w:abstractNumId w:val="26"/>
  </w:num>
  <w:num w:numId="25" w16cid:durableId="1140422469">
    <w:abstractNumId w:val="11"/>
  </w:num>
  <w:num w:numId="26" w16cid:durableId="906961042">
    <w:abstractNumId w:val="8"/>
  </w:num>
  <w:num w:numId="27" w16cid:durableId="2135365669">
    <w:abstractNumId w:val="17"/>
  </w:num>
  <w:num w:numId="28" w16cid:durableId="1381174842">
    <w:abstractNumId w:val="14"/>
  </w:num>
  <w:num w:numId="29" w16cid:durableId="954601300">
    <w:abstractNumId w:val="35"/>
  </w:num>
  <w:num w:numId="30" w16cid:durableId="858661157">
    <w:abstractNumId w:val="21"/>
  </w:num>
  <w:num w:numId="31" w16cid:durableId="825365161">
    <w:abstractNumId w:val="0"/>
  </w:num>
  <w:num w:numId="32" w16cid:durableId="543760627">
    <w:abstractNumId w:val="32"/>
  </w:num>
  <w:num w:numId="33" w16cid:durableId="2011131162">
    <w:abstractNumId w:val="29"/>
  </w:num>
  <w:num w:numId="34" w16cid:durableId="1756516340">
    <w:abstractNumId w:val="23"/>
  </w:num>
  <w:num w:numId="35" w16cid:durableId="1568110023">
    <w:abstractNumId w:val="42"/>
  </w:num>
  <w:num w:numId="36" w16cid:durableId="1725369227">
    <w:abstractNumId w:val="6"/>
  </w:num>
  <w:num w:numId="37" w16cid:durableId="302932881">
    <w:abstractNumId w:val="25"/>
  </w:num>
  <w:num w:numId="38" w16cid:durableId="1562060984">
    <w:abstractNumId w:val="1"/>
  </w:num>
  <w:num w:numId="39" w16cid:durableId="1576549665">
    <w:abstractNumId w:val="5"/>
  </w:num>
  <w:num w:numId="40" w16cid:durableId="66003381">
    <w:abstractNumId w:val="27"/>
  </w:num>
  <w:num w:numId="41" w16cid:durableId="384527307">
    <w:abstractNumId w:val="16"/>
  </w:num>
  <w:num w:numId="42" w16cid:durableId="371542348">
    <w:abstractNumId w:val="9"/>
  </w:num>
  <w:num w:numId="43" w16cid:durableId="1037000528">
    <w:abstractNumId w:val="3"/>
  </w:num>
  <w:num w:numId="44" w16cid:durableId="1556353195">
    <w:abstractNumId w:val="30"/>
  </w:num>
  <w:num w:numId="45" w16cid:durableId="1411391578">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1EE9"/>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06D"/>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19"/>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89B"/>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C15"/>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50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A"/>
    <w:rsid w:val="000D6D9E"/>
    <w:rsid w:val="000D7224"/>
    <w:rsid w:val="000D7404"/>
    <w:rsid w:val="000D75F9"/>
    <w:rsid w:val="000D7652"/>
    <w:rsid w:val="000D7B61"/>
    <w:rsid w:val="000E0602"/>
    <w:rsid w:val="000E0631"/>
    <w:rsid w:val="000E0649"/>
    <w:rsid w:val="000E08C7"/>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B90"/>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A7F"/>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6E7"/>
    <w:rsid w:val="00115BC9"/>
    <w:rsid w:val="00116046"/>
    <w:rsid w:val="00116722"/>
    <w:rsid w:val="00116C9A"/>
    <w:rsid w:val="00116F74"/>
    <w:rsid w:val="001176B7"/>
    <w:rsid w:val="00117D45"/>
    <w:rsid w:val="00117E8D"/>
    <w:rsid w:val="001200CB"/>
    <w:rsid w:val="00120340"/>
    <w:rsid w:val="001203E7"/>
    <w:rsid w:val="001204FD"/>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2D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69A"/>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C2D"/>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4FD"/>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0CC"/>
    <w:rsid w:val="001B72D6"/>
    <w:rsid w:val="001B7859"/>
    <w:rsid w:val="001C038F"/>
    <w:rsid w:val="001C0591"/>
    <w:rsid w:val="001C064D"/>
    <w:rsid w:val="001C06F8"/>
    <w:rsid w:val="001C07A1"/>
    <w:rsid w:val="001C0BD4"/>
    <w:rsid w:val="001C0C36"/>
    <w:rsid w:val="001C0FE5"/>
    <w:rsid w:val="001C10B7"/>
    <w:rsid w:val="001C16BF"/>
    <w:rsid w:val="001C184D"/>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506"/>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5F54"/>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91A"/>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0"/>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3B0"/>
    <w:rsid w:val="00261594"/>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60AD"/>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62F"/>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5EB9"/>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3FCE"/>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D9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2F52"/>
    <w:rsid w:val="0033355F"/>
    <w:rsid w:val="00333860"/>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A0"/>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0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1E"/>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B75FA"/>
    <w:rsid w:val="003B7CA1"/>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195"/>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CC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5BE"/>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027"/>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0F58"/>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5FC2"/>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0F"/>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58"/>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46A"/>
    <w:rsid w:val="004758A8"/>
    <w:rsid w:val="00475ACA"/>
    <w:rsid w:val="00475C4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4E5"/>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DDA"/>
    <w:rsid w:val="00493F4D"/>
    <w:rsid w:val="004941C2"/>
    <w:rsid w:val="0049432A"/>
    <w:rsid w:val="00494E9D"/>
    <w:rsid w:val="0049519B"/>
    <w:rsid w:val="004953AB"/>
    <w:rsid w:val="00495637"/>
    <w:rsid w:val="0049580B"/>
    <w:rsid w:val="00495CAB"/>
    <w:rsid w:val="00495E5F"/>
    <w:rsid w:val="00495E6C"/>
    <w:rsid w:val="00496449"/>
    <w:rsid w:val="00496D08"/>
    <w:rsid w:val="00496D59"/>
    <w:rsid w:val="00496EB1"/>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9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579"/>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B9C"/>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2D3"/>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BBB"/>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5A6"/>
    <w:rsid w:val="0053768D"/>
    <w:rsid w:val="005376A5"/>
    <w:rsid w:val="005378AE"/>
    <w:rsid w:val="00537F2E"/>
    <w:rsid w:val="00537F98"/>
    <w:rsid w:val="0054008E"/>
    <w:rsid w:val="005400D6"/>
    <w:rsid w:val="005403D8"/>
    <w:rsid w:val="00540AD9"/>
    <w:rsid w:val="00542074"/>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802"/>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4DE8"/>
    <w:rsid w:val="005B57C5"/>
    <w:rsid w:val="005B57F2"/>
    <w:rsid w:val="005B5F79"/>
    <w:rsid w:val="005B5F7B"/>
    <w:rsid w:val="005B5F7E"/>
    <w:rsid w:val="005B618B"/>
    <w:rsid w:val="005B6301"/>
    <w:rsid w:val="005B6354"/>
    <w:rsid w:val="005B6A10"/>
    <w:rsid w:val="005B6AB2"/>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60E"/>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5AB9"/>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49D"/>
    <w:rsid w:val="0061093F"/>
    <w:rsid w:val="00610E2B"/>
    <w:rsid w:val="006116B4"/>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78B"/>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54C"/>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63A"/>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37DAD"/>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CCB"/>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3D0"/>
    <w:rsid w:val="00772C5A"/>
    <w:rsid w:val="00772F91"/>
    <w:rsid w:val="00773003"/>
    <w:rsid w:val="0077333A"/>
    <w:rsid w:val="00773812"/>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B7B"/>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4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72E"/>
    <w:rsid w:val="007A1901"/>
    <w:rsid w:val="007A21C5"/>
    <w:rsid w:val="007A21E2"/>
    <w:rsid w:val="007A2462"/>
    <w:rsid w:val="007A254E"/>
    <w:rsid w:val="007A2D75"/>
    <w:rsid w:val="007A2FCB"/>
    <w:rsid w:val="007A323B"/>
    <w:rsid w:val="007A393B"/>
    <w:rsid w:val="007A3983"/>
    <w:rsid w:val="007A3DA2"/>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1FE"/>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6F64"/>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D8B"/>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0B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BB0"/>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590"/>
    <w:rsid w:val="00887615"/>
    <w:rsid w:val="00887860"/>
    <w:rsid w:val="00887A62"/>
    <w:rsid w:val="00887D49"/>
    <w:rsid w:val="00887ECF"/>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AF"/>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23F"/>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44F"/>
    <w:rsid w:val="00903D25"/>
    <w:rsid w:val="00903EC0"/>
    <w:rsid w:val="009042F2"/>
    <w:rsid w:val="009048D4"/>
    <w:rsid w:val="00904CAB"/>
    <w:rsid w:val="00905215"/>
    <w:rsid w:val="00905375"/>
    <w:rsid w:val="0090542C"/>
    <w:rsid w:val="00905468"/>
    <w:rsid w:val="00905AB5"/>
    <w:rsid w:val="00905CC3"/>
    <w:rsid w:val="00905CE2"/>
    <w:rsid w:val="0090617D"/>
    <w:rsid w:val="0090621E"/>
    <w:rsid w:val="009063EA"/>
    <w:rsid w:val="00906591"/>
    <w:rsid w:val="00906EB7"/>
    <w:rsid w:val="009073FC"/>
    <w:rsid w:val="0090797F"/>
    <w:rsid w:val="00907A61"/>
    <w:rsid w:val="00907CFC"/>
    <w:rsid w:val="00907E1F"/>
    <w:rsid w:val="00910802"/>
    <w:rsid w:val="00910905"/>
    <w:rsid w:val="0091099F"/>
    <w:rsid w:val="00910B97"/>
    <w:rsid w:val="00910BAF"/>
    <w:rsid w:val="00910E17"/>
    <w:rsid w:val="00910FF2"/>
    <w:rsid w:val="00911040"/>
    <w:rsid w:val="00911982"/>
    <w:rsid w:val="00911ED3"/>
    <w:rsid w:val="00912095"/>
    <w:rsid w:val="00912569"/>
    <w:rsid w:val="00913040"/>
    <w:rsid w:val="009136DA"/>
    <w:rsid w:val="00913FF8"/>
    <w:rsid w:val="00914077"/>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68F6"/>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DED"/>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45D"/>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202"/>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5A14"/>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2EE0"/>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1DA"/>
    <w:rsid w:val="009D5745"/>
    <w:rsid w:val="009D5AD2"/>
    <w:rsid w:val="009D5DA2"/>
    <w:rsid w:val="009D6433"/>
    <w:rsid w:val="009D69D1"/>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5AA"/>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72"/>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0CE"/>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CBD"/>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AE1"/>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42C"/>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2F3D"/>
    <w:rsid w:val="00AE35EC"/>
    <w:rsid w:val="00AE3870"/>
    <w:rsid w:val="00AE3EE8"/>
    <w:rsid w:val="00AE40A7"/>
    <w:rsid w:val="00AE4115"/>
    <w:rsid w:val="00AE456B"/>
    <w:rsid w:val="00AE5086"/>
    <w:rsid w:val="00AE50ED"/>
    <w:rsid w:val="00AE5373"/>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A"/>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CDB"/>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166"/>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6FF"/>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5A1"/>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007"/>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97B1D"/>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09"/>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B"/>
    <w:rsid w:val="00BD54ED"/>
    <w:rsid w:val="00BD5737"/>
    <w:rsid w:val="00BD582B"/>
    <w:rsid w:val="00BD58E1"/>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237"/>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4B9"/>
    <w:rsid w:val="00C0274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67C"/>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00B"/>
    <w:rsid w:val="00C332D0"/>
    <w:rsid w:val="00C333AC"/>
    <w:rsid w:val="00C33865"/>
    <w:rsid w:val="00C338DA"/>
    <w:rsid w:val="00C3463A"/>
    <w:rsid w:val="00C346C4"/>
    <w:rsid w:val="00C347EC"/>
    <w:rsid w:val="00C34824"/>
    <w:rsid w:val="00C349DA"/>
    <w:rsid w:val="00C35401"/>
    <w:rsid w:val="00C35BCD"/>
    <w:rsid w:val="00C35E39"/>
    <w:rsid w:val="00C36150"/>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1A2"/>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D09"/>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899"/>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1C76"/>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0B7"/>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8A6"/>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B58"/>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4F6"/>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BEC"/>
    <w:rsid w:val="00D77D79"/>
    <w:rsid w:val="00D80024"/>
    <w:rsid w:val="00D8092A"/>
    <w:rsid w:val="00D80997"/>
    <w:rsid w:val="00D809E3"/>
    <w:rsid w:val="00D80A56"/>
    <w:rsid w:val="00D80B84"/>
    <w:rsid w:val="00D80E7F"/>
    <w:rsid w:val="00D80E9D"/>
    <w:rsid w:val="00D80ED7"/>
    <w:rsid w:val="00D81484"/>
    <w:rsid w:val="00D81886"/>
    <w:rsid w:val="00D81E0B"/>
    <w:rsid w:val="00D81EFE"/>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522"/>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BC4"/>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B7C19"/>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5810"/>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4FEB"/>
    <w:rsid w:val="00E054F8"/>
    <w:rsid w:val="00E05520"/>
    <w:rsid w:val="00E0573F"/>
    <w:rsid w:val="00E059A0"/>
    <w:rsid w:val="00E05A9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D5A"/>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B63"/>
    <w:rsid w:val="00E55E0C"/>
    <w:rsid w:val="00E56355"/>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7"/>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0BE"/>
    <w:rsid w:val="00E7685E"/>
    <w:rsid w:val="00E76E32"/>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77"/>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AF0"/>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3E5"/>
    <w:rsid w:val="00EE3404"/>
    <w:rsid w:val="00EE3594"/>
    <w:rsid w:val="00EE3723"/>
    <w:rsid w:val="00EE3877"/>
    <w:rsid w:val="00EE38E7"/>
    <w:rsid w:val="00EE4570"/>
    <w:rsid w:val="00EE4598"/>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18"/>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82D"/>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8"/>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3"/>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2B9F"/>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1E5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5A4D"/>
    <w:rsid w:val="00FF6994"/>
    <w:rsid w:val="00FF6A08"/>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54858054">
      <w:bodyDiv w:val="1"/>
      <w:marLeft w:val="0"/>
      <w:marRight w:val="0"/>
      <w:marTop w:val="0"/>
      <w:marBottom w:val="0"/>
      <w:divBdr>
        <w:top w:val="none" w:sz="0" w:space="0" w:color="auto"/>
        <w:left w:val="none" w:sz="0" w:space="0" w:color="auto"/>
        <w:bottom w:val="none" w:sz="0" w:space="0" w:color="auto"/>
        <w:right w:val="none" w:sz="0" w:space="0" w:color="auto"/>
      </w:divBdr>
      <w:divsChild>
        <w:div w:id="250626464">
          <w:marLeft w:val="562"/>
          <w:marRight w:val="0"/>
          <w:marTop w:val="0"/>
          <w:marBottom w:val="0"/>
          <w:divBdr>
            <w:top w:val="none" w:sz="0" w:space="0" w:color="auto"/>
            <w:left w:val="none" w:sz="0" w:space="0" w:color="auto"/>
            <w:bottom w:val="none" w:sz="0" w:space="0" w:color="auto"/>
            <w:right w:val="none" w:sz="0" w:space="0" w:color="auto"/>
          </w:divBdr>
        </w:div>
      </w:divsChild>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3086994">
      <w:bodyDiv w:val="1"/>
      <w:marLeft w:val="0"/>
      <w:marRight w:val="0"/>
      <w:marTop w:val="0"/>
      <w:marBottom w:val="0"/>
      <w:divBdr>
        <w:top w:val="none" w:sz="0" w:space="0" w:color="auto"/>
        <w:left w:val="none" w:sz="0" w:space="0" w:color="auto"/>
        <w:bottom w:val="none" w:sz="0" w:space="0" w:color="auto"/>
        <w:right w:val="none" w:sz="0" w:space="0" w:color="auto"/>
      </w:divBdr>
      <w:divsChild>
        <w:div w:id="33582020">
          <w:marLeft w:val="216"/>
          <w:marRight w:val="0"/>
          <w:marTop w:val="240"/>
          <w:marBottom w:val="0"/>
          <w:divBdr>
            <w:top w:val="none" w:sz="0" w:space="0" w:color="auto"/>
            <w:left w:val="none" w:sz="0" w:space="0" w:color="auto"/>
            <w:bottom w:val="none" w:sz="0" w:space="0" w:color="auto"/>
            <w:right w:val="none" w:sz="0" w:space="0" w:color="auto"/>
          </w:divBdr>
        </w:div>
        <w:div w:id="322784112">
          <w:marLeft w:val="562"/>
          <w:marRight w:val="0"/>
          <w:marTop w:val="0"/>
          <w:marBottom w:val="0"/>
          <w:divBdr>
            <w:top w:val="none" w:sz="0" w:space="0" w:color="auto"/>
            <w:left w:val="none" w:sz="0" w:space="0" w:color="auto"/>
            <w:bottom w:val="none" w:sz="0" w:space="0" w:color="auto"/>
            <w:right w:val="none" w:sz="0" w:space="0" w:color="auto"/>
          </w:divBdr>
        </w:div>
        <w:div w:id="1938170698">
          <w:marLeft w:val="216"/>
          <w:marRight w:val="0"/>
          <w:marTop w:val="240"/>
          <w:marBottom w:val="0"/>
          <w:divBdr>
            <w:top w:val="none" w:sz="0" w:space="0" w:color="auto"/>
            <w:left w:val="none" w:sz="0" w:space="0" w:color="auto"/>
            <w:bottom w:val="none" w:sz="0" w:space="0" w:color="auto"/>
            <w:right w:val="none" w:sz="0" w:space="0" w:color="auto"/>
          </w:divBdr>
        </w:div>
        <w:div w:id="997925525">
          <w:marLeft w:val="562"/>
          <w:marRight w:val="0"/>
          <w:marTop w:val="0"/>
          <w:marBottom w:val="0"/>
          <w:divBdr>
            <w:top w:val="none" w:sz="0" w:space="0" w:color="auto"/>
            <w:left w:val="none" w:sz="0" w:space="0" w:color="auto"/>
            <w:bottom w:val="none" w:sz="0" w:space="0" w:color="auto"/>
            <w:right w:val="none" w:sz="0" w:space="0" w:color="auto"/>
          </w:divBdr>
        </w:div>
        <w:div w:id="1079016275">
          <w:marLeft w:val="216"/>
          <w:marRight w:val="0"/>
          <w:marTop w:val="240"/>
          <w:marBottom w:val="0"/>
          <w:divBdr>
            <w:top w:val="none" w:sz="0" w:space="0" w:color="auto"/>
            <w:left w:val="none" w:sz="0" w:space="0" w:color="auto"/>
            <w:bottom w:val="none" w:sz="0" w:space="0" w:color="auto"/>
            <w:right w:val="none" w:sz="0" w:space="0" w:color="auto"/>
          </w:divBdr>
        </w:div>
        <w:div w:id="693502154">
          <w:marLeft w:val="562"/>
          <w:marRight w:val="0"/>
          <w:marTop w:val="0"/>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2830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8353</TotalTime>
  <Pages>2</Pages>
  <Words>613</Words>
  <Characters>2967</Characters>
  <Application>Microsoft Office Word</Application>
  <DocSecurity>0</DocSecurity>
  <Lines>24</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717</cp:revision>
  <cp:lastPrinted>2022-09-27T22:38:00Z</cp:lastPrinted>
  <dcterms:created xsi:type="dcterms:W3CDTF">2022-08-08T20:12:00Z</dcterms:created>
  <dcterms:modified xsi:type="dcterms:W3CDTF">2023-05-13T00:34:00Z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